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NDIS support risk assessment</w:t>
      </w:r>
    </w:p>
    <w:p>
      <w:r>
        <w:t>Use with the participant to identify risks in the specific supports being delivered and agree proportionate controls. This is a working record, not a clinical assessment, funding approval or authorisation for restrictive practices.</w:t>
      </w:r>
    </w:p>
    <w:p>
      <w:r>
        <w:rPr>
          <w:b/>
        </w:rPr>
        <w:t xml:space="preserve">Participant and assessor  </w:t>
      </w:r>
      <w:r>
        <w:t>[Participant reference; assessor name and role]</w:t>
      </w:r>
    </w:p>
    <w:p>
      <w:r>
        <w:rPr>
          <w:b/>
        </w:rPr>
        <w:t xml:space="preserve">Support and setting  </w:t>
      </w:r>
      <w:r>
        <w:t>[Activity, location and relevant circumstances]</w:t>
      </w:r>
    </w:p>
    <w:p>
      <w:r>
        <w:rPr>
          <w:b/>
        </w:rPr>
        <w:t xml:space="preserve">Assessment and review dates  </w:t>
      </w:r>
      <w:r>
        <w:t>[Completed date; next review; earlier review triggers]</w:t>
      </w:r>
    </w:p>
    <w:p>
      <w:r>
        <w:rPr>
          <w:b/>
        </w:rPr>
        <w:t xml:space="preserve">Participant involvement  </w:t>
      </w:r>
      <w:r>
        <w:t>[Preferences, communication support and people involved with consent]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664"/>
        <w:gridCol w:w="2448"/>
        <w:gridCol w:w="2304"/>
        <w:gridCol w:w="2376"/>
      </w:tblGrid>
      <w:tr>
        <w:trPr>
          <w:tblHeader/>
          <w:cantSplit/>
        </w:trPr>
        <w:tc>
          <w:tcPr>
            <w:tcW w:type="dxa" w:w="2473"/>
            <w:shd w:fill="EEF2F5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rPr>
                <w:b/>
              </w:rPr>
              <w:t>Risk and who may be affected</w:t>
            </w:r>
          </w:p>
        </w:tc>
        <w:tc>
          <w:tcPr>
            <w:tcW w:type="dxa" w:w="2473"/>
            <w:shd w:fill="EEF2F5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rPr>
                <w:b/>
              </w:rPr>
              <w:t>Existing controls</w:t>
            </w:r>
          </w:p>
        </w:tc>
        <w:tc>
          <w:tcPr>
            <w:tcW w:type="dxa" w:w="2473"/>
            <w:shd w:fill="EEF2F5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rPr>
                <w:b/>
              </w:rPr>
              <w:t>Action and owner</w:t>
            </w:r>
          </w:p>
        </w:tc>
        <w:tc>
          <w:tcPr>
            <w:tcW w:type="dxa" w:w="2473"/>
            <w:shd w:fill="EEF2F5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rPr>
                <w:b/>
              </w:rPr>
              <w:t>Review and residual risk</w:t>
            </w:r>
          </w:p>
        </w:tc>
      </w:tr>
      <w:tr>
        <w:trPr>
          <w:cantSplit/>
        </w:trPr>
        <w:tc>
          <w:tcPr>
            <w:tcW w:type="dxa" w:w="266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[Specific hazard and consequence]</w:t>
            </w:r>
          </w:p>
        </w:tc>
        <w:tc>
          <w:tcPr>
            <w:tcW w:type="dxa" w:w="244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[What already reduces risk]</w:t>
            </w:r>
          </w:p>
        </w:tc>
        <w:tc>
          <w:tcPr>
            <w:tcW w:type="dxa" w:w="230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[Action; person; due date]</w:t>
            </w:r>
          </w:p>
        </w:tc>
        <w:tc>
          <w:tcPr>
            <w:tcW w:type="dxa" w:w="2376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[Risk after controls; review date]</w:t>
            </w:r>
          </w:p>
        </w:tc>
      </w:tr>
      <w:tr>
        <w:trPr>
          <w:cantSplit/>
        </w:trPr>
        <w:tc>
          <w:tcPr>
            <w:tcW w:type="dxa" w:w="266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[Specific hazard and consequence]</w:t>
            </w:r>
          </w:p>
        </w:tc>
        <w:tc>
          <w:tcPr>
            <w:tcW w:type="dxa" w:w="244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[What already reduces risk]</w:t>
            </w:r>
          </w:p>
        </w:tc>
        <w:tc>
          <w:tcPr>
            <w:tcW w:type="dxa" w:w="230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[Action; person; due date]</w:t>
            </w:r>
          </w:p>
        </w:tc>
        <w:tc>
          <w:tcPr>
            <w:tcW w:type="dxa" w:w="2376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[Risk after controls; review date]</w:t>
            </w:r>
          </w:p>
        </w:tc>
      </w:tr>
      <w:tr>
        <w:trPr>
          <w:cantSplit/>
        </w:trPr>
        <w:tc>
          <w:tcPr>
            <w:tcW w:type="dxa" w:w="266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[Specific hazard and consequence]</w:t>
            </w:r>
          </w:p>
        </w:tc>
        <w:tc>
          <w:tcPr>
            <w:tcW w:type="dxa" w:w="244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[What already reduces risk]</w:t>
            </w:r>
          </w:p>
        </w:tc>
        <w:tc>
          <w:tcPr>
            <w:tcW w:type="dxa" w:w="230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[Action; person; due date]</w:t>
            </w:r>
          </w:p>
        </w:tc>
        <w:tc>
          <w:tcPr>
            <w:tcW w:type="dxa" w:w="2376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[Risk after controls; review date]</w:t>
            </w:r>
          </w:p>
        </w:tc>
      </w:tr>
    </w:tbl>
    <w:p/>
    <w:p>
      <w:pPr>
        <w:pStyle w:val="Heading2"/>
      </w:pPr>
      <w:r>
        <w:t>Assess each risk</w:t>
      </w:r>
    </w:p>
    <w:p>
      <w:r>
        <w:t>Use your organisation's defined likelihood and consequence method. Record both the initial and residual rating, the reason for the rating and any escalation required. Do not invent a universal NDIS risk score.</w:t>
      </w:r>
    </w:p>
    <w:p>
      <w:r>
        <w:rPr>
          <w:b/>
        </w:rPr>
        <w:t xml:space="preserve">Rating method and findings  </w:t>
      </w:r>
      <w:r>
        <w:t>[Method; initial and residual ratings; rationale]</w:t>
      </w:r>
    </w:p>
    <w:p>
      <w:r>
        <w:rPr>
          <w:b/>
        </w:rPr>
        <w:t xml:space="preserve">Escalation and continuity  </w:t>
      </w:r>
      <w:r>
        <w:t>[Who to contact; when to pause or adapt support; emergency or backup plan]</w:t>
      </w:r>
    </w:p>
    <w:p>
      <w:r>
        <w:rPr>
          <w:b/>
        </w:rPr>
        <w:t xml:space="preserve">Participant preferences and agreed actions  </w:t>
      </w:r>
      <w:r>
        <w:t>[Choice, informed discussion, actions and any unresolved concern]</w:t>
      </w:r>
    </w:p>
    <w:p>
      <w:r>
        <w:rPr>
          <w:b/>
        </w:rPr>
        <w:t xml:space="preserve">Sign-off and follow-up  </w:t>
      </w:r>
      <w:r>
        <w:t>[Participant involvement; assessor; manager if needed; dates]</w:t>
      </w:r>
    </w:p>
    <w:p>
      <w:r>
        <w:t>Review when needs, health, the activity, location or support arrangements change, or after an incident. Seek qualified advice for risks beyond the assessor's competence. In an immediate emergency call 000.</w:t>
      </w:r>
    </w:p>
    <w:p>
      <w:r>
        <w:t>Source: NDIS Commission Core module Provision of supports, ndiscommission.gov.au/rules-and-standards/ndis-practice-standards/core-module-provision-supports</w:t>
      </w:r>
    </w:p>
    <w:sectPr w:rsidR="00FC693F" w:rsidRPr="0006063C" w:rsidSect="00034616">
      <w:footerReference w:type="default" r:id="rId9"/>
      <w:pgSz w:w="11909" w:h="16834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 xml:space="preserve">Carevo template | Reviewed 9 September 2026 |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NDIS support risk assessment</dc:title>
  <dc:subject/>
  <dc:creator>Carevo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